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90F" w:rsidRDefault="006B690F" w:rsidP="006B690F">
      <w:pPr>
        <w:spacing w:line="480" w:lineRule="atLeast"/>
        <w:ind w:right="-7"/>
        <w:jc w:val="center"/>
        <w:rPr>
          <w:b/>
          <w:sz w:val="24"/>
        </w:rPr>
      </w:pPr>
      <w:r w:rsidRPr="00CD4E65">
        <w:rPr>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55.1pt" o:ole="" fillcolor="window">
            <v:imagedata r:id="rId4" o:title=""/>
          </v:shape>
          <o:OLEObject Type="Embed" ProgID="PBrush" ShapeID="_x0000_i1025" DrawAspect="Content" ObjectID="_1600254413" r:id="rId5">
            <o:FieldCodes>\s \* MERGEFORMAT</o:FieldCodes>
          </o:OLEObject>
        </w:object>
      </w:r>
    </w:p>
    <w:p w:rsidR="006B690F" w:rsidRDefault="006B690F" w:rsidP="006B690F">
      <w:pPr>
        <w:spacing w:line="480" w:lineRule="atLeast"/>
        <w:ind w:right="-7"/>
        <w:jc w:val="center"/>
        <w:rPr>
          <w:b/>
          <w:sz w:val="32"/>
        </w:rPr>
      </w:pPr>
      <w:r>
        <w:rPr>
          <w:b/>
          <w:sz w:val="32"/>
        </w:rPr>
        <w:t>У К Р А Ї Н А</w:t>
      </w:r>
    </w:p>
    <w:p w:rsidR="006B690F" w:rsidRDefault="006B690F" w:rsidP="006B690F">
      <w:pPr>
        <w:pStyle w:val="1"/>
      </w:pPr>
      <w:r>
        <w:t>ЧЕРНІВЕЦЬКА ОБЛАСНА РАДА</w:t>
      </w:r>
    </w:p>
    <w:p w:rsidR="006B690F" w:rsidRDefault="006B690F" w:rsidP="006B690F">
      <w:pPr>
        <w:pStyle w:val="2"/>
        <w:rPr>
          <w:lang w:val="uk-UA"/>
        </w:rPr>
      </w:pPr>
    </w:p>
    <w:p w:rsidR="006B690F" w:rsidRDefault="00DB7925" w:rsidP="006B690F">
      <w:pPr>
        <w:pStyle w:val="2"/>
        <w:rPr>
          <w:lang w:val="uk-UA"/>
        </w:rPr>
      </w:pPr>
      <w:r>
        <w:t>XXIV</w:t>
      </w:r>
      <w:r w:rsidRPr="00DB7925">
        <w:rPr>
          <w:lang w:val="ru-RU"/>
        </w:rPr>
        <w:t xml:space="preserve"> </w:t>
      </w:r>
      <w:r w:rsidR="006B690F">
        <w:rPr>
          <w:lang w:val="uk-UA"/>
        </w:rPr>
        <w:t xml:space="preserve">сесія </w:t>
      </w:r>
      <w:r>
        <w:t>VII</w:t>
      </w:r>
      <w:r w:rsidR="006B690F">
        <w:rPr>
          <w:lang w:val="uk-UA"/>
        </w:rPr>
        <w:t xml:space="preserve"> скликання</w:t>
      </w:r>
    </w:p>
    <w:p w:rsidR="006B690F" w:rsidRPr="00FB49DE" w:rsidRDefault="006B690F" w:rsidP="006B690F">
      <w:pPr>
        <w:jc w:val="center"/>
        <w:rPr>
          <w:sz w:val="16"/>
        </w:rPr>
      </w:pPr>
    </w:p>
    <w:p w:rsidR="006B690F" w:rsidRDefault="00DB7925" w:rsidP="006B690F">
      <w:pPr>
        <w:pStyle w:val="3"/>
        <w:rPr>
          <w:lang w:val="uk-UA"/>
        </w:rPr>
      </w:pPr>
      <w:r>
        <w:rPr>
          <w:lang w:val="uk-UA"/>
        </w:rPr>
        <w:t>РІШЕННЯ №</w:t>
      </w:r>
      <w:r w:rsidR="00733036">
        <w:rPr>
          <w:lang w:val="ru-RU"/>
        </w:rPr>
        <w:t>134</w:t>
      </w:r>
      <w:r w:rsidR="006B690F">
        <w:rPr>
          <w:lang w:val="uk-UA"/>
        </w:rPr>
        <w:t>-</w:t>
      </w:r>
      <w:r w:rsidRPr="00DB7925">
        <w:rPr>
          <w:lang w:val="ru-RU"/>
        </w:rPr>
        <w:t>24</w:t>
      </w:r>
      <w:r w:rsidR="006B690F">
        <w:rPr>
          <w:lang w:val="uk-UA"/>
        </w:rPr>
        <w:t>/18</w:t>
      </w:r>
    </w:p>
    <w:p w:rsidR="006B690F" w:rsidRDefault="006B690F" w:rsidP="006B690F">
      <w:pPr>
        <w:rPr>
          <w:sz w:val="28"/>
        </w:rPr>
      </w:pPr>
    </w:p>
    <w:tbl>
      <w:tblPr>
        <w:tblW w:w="0" w:type="auto"/>
        <w:tblLayout w:type="fixed"/>
        <w:tblLook w:val="0000"/>
      </w:tblPr>
      <w:tblGrid>
        <w:gridCol w:w="4261"/>
        <w:gridCol w:w="5203"/>
      </w:tblGrid>
      <w:tr w:rsidR="006B690F" w:rsidTr="0053677D">
        <w:tc>
          <w:tcPr>
            <w:tcW w:w="4261" w:type="dxa"/>
          </w:tcPr>
          <w:p w:rsidR="006B690F" w:rsidRDefault="00DB7925" w:rsidP="00DB7925">
            <w:pPr>
              <w:ind w:right="-491"/>
              <w:rPr>
                <w:sz w:val="28"/>
              </w:rPr>
            </w:pPr>
            <w:r>
              <w:rPr>
                <w:sz w:val="28"/>
                <w:lang w:val="en-US"/>
              </w:rPr>
              <w:t>12</w:t>
            </w:r>
            <w:r w:rsidR="000A655C">
              <w:rPr>
                <w:sz w:val="28"/>
              </w:rPr>
              <w:t xml:space="preserve"> </w:t>
            </w:r>
            <w:r>
              <w:rPr>
                <w:sz w:val="28"/>
              </w:rPr>
              <w:t xml:space="preserve"> вересня</w:t>
            </w:r>
            <w:r w:rsidR="006B690F">
              <w:rPr>
                <w:sz w:val="28"/>
              </w:rPr>
              <w:t xml:space="preserve"> 2018 р.</w:t>
            </w:r>
          </w:p>
        </w:tc>
        <w:tc>
          <w:tcPr>
            <w:tcW w:w="5203" w:type="dxa"/>
          </w:tcPr>
          <w:p w:rsidR="006B690F" w:rsidRDefault="006B690F" w:rsidP="0053677D">
            <w:pPr>
              <w:jc w:val="right"/>
              <w:rPr>
                <w:sz w:val="28"/>
              </w:rPr>
            </w:pPr>
            <w:r>
              <w:rPr>
                <w:sz w:val="28"/>
              </w:rPr>
              <w:t>м. Чернівці</w:t>
            </w:r>
          </w:p>
        </w:tc>
      </w:tr>
    </w:tbl>
    <w:p w:rsidR="006B690F" w:rsidRDefault="006B690F" w:rsidP="006B690F">
      <w:pPr>
        <w:rPr>
          <w:b/>
          <w:sz w:val="28"/>
          <w:szCs w:val="28"/>
        </w:rPr>
      </w:pPr>
    </w:p>
    <w:p w:rsidR="00733036" w:rsidRDefault="00733036" w:rsidP="00733036">
      <w:pPr>
        <w:rPr>
          <w:b/>
          <w:sz w:val="28"/>
          <w:szCs w:val="28"/>
        </w:rPr>
      </w:pPr>
      <w:r>
        <w:rPr>
          <w:b/>
          <w:sz w:val="28"/>
          <w:szCs w:val="28"/>
        </w:rPr>
        <w:t>Про затвердження комплексної</w:t>
      </w:r>
    </w:p>
    <w:p w:rsidR="00733036" w:rsidRDefault="00733036" w:rsidP="00733036">
      <w:pPr>
        <w:rPr>
          <w:b/>
          <w:sz w:val="28"/>
          <w:szCs w:val="28"/>
        </w:rPr>
      </w:pPr>
      <w:r>
        <w:rPr>
          <w:b/>
          <w:sz w:val="28"/>
          <w:szCs w:val="28"/>
        </w:rPr>
        <w:t xml:space="preserve">програми будівництва (придбання) </w:t>
      </w:r>
    </w:p>
    <w:p w:rsidR="00733036" w:rsidRDefault="00733036" w:rsidP="00733036">
      <w:pPr>
        <w:rPr>
          <w:b/>
          <w:sz w:val="28"/>
          <w:szCs w:val="28"/>
        </w:rPr>
      </w:pPr>
      <w:r>
        <w:rPr>
          <w:b/>
          <w:sz w:val="28"/>
          <w:szCs w:val="28"/>
        </w:rPr>
        <w:t>доступного житла на 2018-2022 роки</w:t>
      </w:r>
    </w:p>
    <w:p w:rsidR="00733036" w:rsidRDefault="00733036" w:rsidP="00733036">
      <w:pPr>
        <w:jc w:val="both"/>
        <w:rPr>
          <w:b/>
          <w:sz w:val="28"/>
          <w:szCs w:val="28"/>
        </w:rPr>
      </w:pPr>
      <w:r>
        <w:rPr>
          <w:b/>
          <w:sz w:val="28"/>
          <w:szCs w:val="28"/>
        </w:rPr>
        <w:tab/>
      </w:r>
    </w:p>
    <w:p w:rsidR="00733036" w:rsidRPr="0070600B" w:rsidRDefault="00733036" w:rsidP="00733036">
      <w:pPr>
        <w:jc w:val="both"/>
        <w:rPr>
          <w:sz w:val="28"/>
          <w:szCs w:val="28"/>
        </w:rPr>
      </w:pPr>
      <w:r>
        <w:rPr>
          <w:b/>
          <w:sz w:val="28"/>
          <w:szCs w:val="28"/>
        </w:rPr>
        <w:tab/>
      </w:r>
      <w:r w:rsidRPr="0070600B">
        <w:rPr>
          <w:sz w:val="28"/>
          <w:szCs w:val="28"/>
        </w:rPr>
        <w:t>Керуючись пунктом 16 частини 1 статті 43 Закону України</w:t>
      </w:r>
      <w:r w:rsidRPr="0070600B">
        <w:rPr>
          <w:b/>
          <w:sz w:val="28"/>
          <w:szCs w:val="28"/>
        </w:rPr>
        <w:t xml:space="preserve"> </w:t>
      </w:r>
      <w:r w:rsidRPr="0070600B">
        <w:rPr>
          <w:sz w:val="28"/>
          <w:szCs w:val="28"/>
        </w:rPr>
        <w:t xml:space="preserve">«Про місцеве самоврядування в Україні», </w:t>
      </w:r>
      <w:r w:rsidRPr="0070600B">
        <w:rPr>
          <w:sz w:val="28"/>
          <w:szCs w:val="28"/>
          <w:lang w:eastAsia="uk-UA"/>
        </w:rPr>
        <w:t xml:space="preserve">Закону України  </w:t>
      </w:r>
      <w:r w:rsidRPr="0070600B">
        <w:rPr>
          <w:sz w:val="28"/>
          <w:szCs w:val="28"/>
        </w:rPr>
        <w:t>«</w:t>
      </w:r>
      <w:r w:rsidRPr="0070600B">
        <w:rPr>
          <w:sz w:val="28"/>
          <w:szCs w:val="28"/>
          <w:lang w:eastAsia="uk-UA"/>
        </w:rPr>
        <w:t>Про  забезпечення  прав  і свобод внутрішньо переміщених осіб</w:t>
      </w:r>
      <w:r w:rsidRPr="0070600B">
        <w:rPr>
          <w:sz w:val="28"/>
          <w:szCs w:val="28"/>
        </w:rPr>
        <w:t xml:space="preserve">», </w:t>
      </w:r>
      <w:hyperlink r:id="rId6" w:history="1">
        <w:r w:rsidRPr="00733036">
          <w:rPr>
            <w:rStyle w:val="a5"/>
            <w:color w:val="auto"/>
            <w:sz w:val="28"/>
            <w:szCs w:val="28"/>
            <w:u w:val="none"/>
          </w:rPr>
          <w:t xml:space="preserve">Закону України </w:t>
        </w:r>
        <w:r w:rsidRPr="00733036">
          <w:rPr>
            <w:sz w:val="28"/>
            <w:szCs w:val="28"/>
          </w:rPr>
          <w:t>«</w:t>
        </w:r>
        <w:r w:rsidRPr="00733036">
          <w:rPr>
            <w:rStyle w:val="a5"/>
            <w:color w:val="auto"/>
            <w:sz w:val="28"/>
            <w:szCs w:val="28"/>
            <w:u w:val="none"/>
          </w:rPr>
          <w:t>Про статус ветеранів війни, гарантії їх соціального захисту</w:t>
        </w:r>
        <w:r w:rsidRPr="00733036">
          <w:rPr>
            <w:sz w:val="28"/>
            <w:szCs w:val="28"/>
          </w:rPr>
          <w:t>»</w:t>
        </w:r>
      </w:hyperlink>
      <w:r w:rsidRPr="00733036">
        <w:rPr>
          <w:sz w:val="28"/>
          <w:szCs w:val="28"/>
        </w:rPr>
        <w:t xml:space="preserve">, </w:t>
      </w:r>
      <w:hyperlink r:id="rId7" w:history="1">
        <w:r w:rsidR="00952661">
          <w:rPr>
            <w:rStyle w:val="a5"/>
            <w:color w:val="auto"/>
            <w:sz w:val="28"/>
            <w:szCs w:val="28"/>
            <w:u w:val="none"/>
          </w:rPr>
          <w:t>з</w:t>
        </w:r>
      </w:hyperlink>
      <w:r w:rsidR="00952661">
        <w:rPr>
          <w:sz w:val="28"/>
          <w:szCs w:val="28"/>
        </w:rPr>
        <w:t xml:space="preserve"> врахуванням порядку визначеним Кабінетом Міністрів України</w:t>
      </w:r>
      <w:r w:rsidRPr="0070600B">
        <w:rPr>
          <w:sz w:val="28"/>
          <w:szCs w:val="28"/>
        </w:rPr>
        <w:t>, обласна рада</w:t>
      </w:r>
    </w:p>
    <w:p w:rsidR="00733036" w:rsidRDefault="00733036" w:rsidP="00733036">
      <w:pPr>
        <w:jc w:val="both"/>
        <w:rPr>
          <w:sz w:val="28"/>
          <w:szCs w:val="28"/>
        </w:rPr>
      </w:pPr>
    </w:p>
    <w:p w:rsidR="00733036" w:rsidRDefault="00733036" w:rsidP="00733036">
      <w:pPr>
        <w:jc w:val="center"/>
        <w:rPr>
          <w:b/>
          <w:sz w:val="28"/>
          <w:szCs w:val="28"/>
        </w:rPr>
      </w:pPr>
      <w:r>
        <w:rPr>
          <w:b/>
          <w:sz w:val="28"/>
          <w:szCs w:val="28"/>
        </w:rPr>
        <w:t>В И Р І Ш И Л А :</w:t>
      </w:r>
    </w:p>
    <w:p w:rsidR="00733036" w:rsidRDefault="00733036" w:rsidP="00733036">
      <w:pPr>
        <w:jc w:val="both"/>
        <w:rPr>
          <w:sz w:val="28"/>
          <w:szCs w:val="28"/>
        </w:rPr>
      </w:pPr>
      <w:r>
        <w:rPr>
          <w:sz w:val="28"/>
          <w:szCs w:val="28"/>
        </w:rPr>
        <w:tab/>
      </w:r>
    </w:p>
    <w:p w:rsidR="00733036" w:rsidRDefault="00733036" w:rsidP="00733036">
      <w:pPr>
        <w:ind w:firstLine="708"/>
        <w:jc w:val="both"/>
        <w:rPr>
          <w:sz w:val="28"/>
          <w:szCs w:val="28"/>
        </w:rPr>
      </w:pPr>
      <w:r w:rsidRPr="00733036">
        <w:rPr>
          <w:sz w:val="28"/>
          <w:szCs w:val="28"/>
        </w:rPr>
        <w:t>1.</w:t>
      </w:r>
      <w:r>
        <w:rPr>
          <w:sz w:val="28"/>
          <w:szCs w:val="28"/>
        </w:rPr>
        <w:t xml:space="preserve"> </w:t>
      </w:r>
      <w:r w:rsidR="000532DB">
        <w:rPr>
          <w:sz w:val="28"/>
          <w:szCs w:val="28"/>
        </w:rPr>
        <w:t xml:space="preserve"> </w:t>
      </w:r>
      <w:r>
        <w:rPr>
          <w:sz w:val="28"/>
          <w:szCs w:val="28"/>
        </w:rPr>
        <w:t>Затвердити комплексну програму будівництва (придбання) доступного житла на 2018-2022 роки в Чернівецькій області (далі – Програма), що додається.</w:t>
      </w:r>
    </w:p>
    <w:p w:rsidR="00733036" w:rsidRDefault="00733036" w:rsidP="00733036">
      <w:pPr>
        <w:jc w:val="both"/>
        <w:rPr>
          <w:sz w:val="28"/>
          <w:szCs w:val="28"/>
        </w:rPr>
      </w:pPr>
    </w:p>
    <w:p w:rsidR="00733036" w:rsidRDefault="00733036" w:rsidP="00733036">
      <w:pPr>
        <w:jc w:val="both"/>
        <w:rPr>
          <w:sz w:val="28"/>
          <w:szCs w:val="28"/>
        </w:rPr>
      </w:pPr>
      <w:r>
        <w:rPr>
          <w:sz w:val="28"/>
          <w:szCs w:val="28"/>
        </w:rPr>
        <w:tab/>
      </w:r>
      <w:r w:rsidRPr="00733036">
        <w:rPr>
          <w:sz w:val="28"/>
          <w:szCs w:val="28"/>
        </w:rPr>
        <w:t>2.</w:t>
      </w:r>
      <w:r>
        <w:rPr>
          <w:sz w:val="28"/>
          <w:szCs w:val="28"/>
        </w:rPr>
        <w:t xml:space="preserve"> Рекомендувати обласній державній адміністрації, Чернівецькій міській раді та районним радам при формуванні бюджетів на відповідний рік, передбачати кошти на фінансування зазначеної Програми, виходячи з фінансових можливостей.</w:t>
      </w:r>
    </w:p>
    <w:p w:rsidR="00733036" w:rsidRDefault="00733036" w:rsidP="00733036">
      <w:pPr>
        <w:jc w:val="both"/>
        <w:rPr>
          <w:sz w:val="28"/>
          <w:szCs w:val="28"/>
        </w:rPr>
      </w:pPr>
    </w:p>
    <w:p w:rsidR="00733036" w:rsidRDefault="00733036" w:rsidP="00733036">
      <w:pPr>
        <w:jc w:val="both"/>
        <w:rPr>
          <w:sz w:val="28"/>
          <w:szCs w:val="28"/>
        </w:rPr>
      </w:pPr>
      <w:r>
        <w:rPr>
          <w:sz w:val="28"/>
          <w:szCs w:val="28"/>
        </w:rPr>
        <w:tab/>
      </w:r>
      <w:r w:rsidRPr="00733036">
        <w:rPr>
          <w:sz w:val="28"/>
          <w:szCs w:val="28"/>
        </w:rPr>
        <w:t>3.</w:t>
      </w:r>
      <w:r>
        <w:rPr>
          <w:sz w:val="28"/>
          <w:szCs w:val="28"/>
        </w:rPr>
        <w:t xml:space="preserve"> Відповідальним виконавцем Програми визначити Чернівецьке регіональне управління Державної спеціалізованої установи «Державний фонд сприяння молодіжному житловому будівництву», головним розпорядником коштів обласного бюджету, що передбачений на виконання вищезазначеної Програми, визначити управління капітального будівництва обласної державної адміністрації.</w:t>
      </w:r>
    </w:p>
    <w:p w:rsidR="00733036" w:rsidRDefault="00733036" w:rsidP="00733036">
      <w:pPr>
        <w:jc w:val="both"/>
        <w:rPr>
          <w:sz w:val="28"/>
          <w:szCs w:val="28"/>
        </w:rPr>
      </w:pPr>
    </w:p>
    <w:p w:rsidR="00733036" w:rsidRDefault="00733036" w:rsidP="00733036">
      <w:pPr>
        <w:jc w:val="both"/>
        <w:rPr>
          <w:sz w:val="28"/>
          <w:szCs w:val="28"/>
        </w:rPr>
      </w:pPr>
      <w:r>
        <w:rPr>
          <w:sz w:val="28"/>
          <w:szCs w:val="28"/>
        </w:rPr>
        <w:tab/>
      </w:r>
      <w:r w:rsidRPr="00733036">
        <w:rPr>
          <w:sz w:val="28"/>
          <w:szCs w:val="28"/>
        </w:rPr>
        <w:t>4.</w:t>
      </w:r>
      <w:r>
        <w:rPr>
          <w:b/>
          <w:sz w:val="28"/>
          <w:szCs w:val="28"/>
        </w:rPr>
        <w:t xml:space="preserve"> </w:t>
      </w:r>
      <w:r>
        <w:rPr>
          <w:sz w:val="28"/>
          <w:szCs w:val="28"/>
        </w:rPr>
        <w:t xml:space="preserve">Рішення підлягає оприлюдненню на офіційному </w:t>
      </w:r>
      <w:proofErr w:type="spellStart"/>
      <w:r>
        <w:rPr>
          <w:sz w:val="28"/>
          <w:szCs w:val="28"/>
        </w:rPr>
        <w:t>веб-порталі</w:t>
      </w:r>
      <w:proofErr w:type="spellEnd"/>
      <w:r>
        <w:rPr>
          <w:sz w:val="28"/>
          <w:szCs w:val="28"/>
        </w:rPr>
        <w:t xml:space="preserve"> Чернівецької обласної ради мережі Інтернет. </w:t>
      </w:r>
    </w:p>
    <w:p w:rsidR="00733036" w:rsidRDefault="00733036" w:rsidP="00733036">
      <w:pPr>
        <w:jc w:val="both"/>
        <w:rPr>
          <w:sz w:val="28"/>
          <w:szCs w:val="28"/>
        </w:rPr>
      </w:pPr>
    </w:p>
    <w:p w:rsidR="00733036" w:rsidRDefault="00733036" w:rsidP="00733036">
      <w:pPr>
        <w:ind w:firstLine="708"/>
        <w:jc w:val="both"/>
        <w:rPr>
          <w:sz w:val="28"/>
          <w:szCs w:val="28"/>
        </w:rPr>
      </w:pPr>
      <w:r w:rsidRPr="00733036">
        <w:rPr>
          <w:sz w:val="28"/>
          <w:szCs w:val="28"/>
        </w:rPr>
        <w:t>5.</w:t>
      </w:r>
      <w:r>
        <w:rPr>
          <w:sz w:val="28"/>
          <w:szCs w:val="28"/>
        </w:rPr>
        <w:t xml:space="preserve"> </w:t>
      </w:r>
      <w:r w:rsidR="000532DB">
        <w:rPr>
          <w:sz w:val="28"/>
          <w:szCs w:val="28"/>
        </w:rPr>
        <w:t xml:space="preserve"> </w:t>
      </w:r>
      <w:r>
        <w:rPr>
          <w:sz w:val="28"/>
          <w:szCs w:val="28"/>
        </w:rPr>
        <w:t xml:space="preserve">Контроль за виконанням Програми покласти на заступника голови обласної державної адміністрації – </w:t>
      </w:r>
      <w:proofErr w:type="spellStart"/>
      <w:r>
        <w:rPr>
          <w:sz w:val="28"/>
          <w:szCs w:val="28"/>
        </w:rPr>
        <w:t>Богатирця</w:t>
      </w:r>
      <w:proofErr w:type="spellEnd"/>
      <w:r>
        <w:rPr>
          <w:sz w:val="28"/>
          <w:szCs w:val="28"/>
        </w:rPr>
        <w:t xml:space="preserve"> І.М., управління капітального </w:t>
      </w:r>
      <w:r>
        <w:rPr>
          <w:sz w:val="28"/>
          <w:szCs w:val="28"/>
        </w:rPr>
        <w:lastRenderedPageBreak/>
        <w:t>будівництва обласної державної адміністрації, постійну комісію обласної ради з питань економіки, бюджету та інвестицій (Березовський М.М.),</w:t>
      </w:r>
      <w:r w:rsidRPr="003909CB">
        <w:rPr>
          <w:sz w:val="28"/>
          <w:szCs w:val="28"/>
        </w:rPr>
        <w:t xml:space="preserve"> </w:t>
      </w:r>
      <w:r>
        <w:rPr>
          <w:sz w:val="28"/>
          <w:szCs w:val="28"/>
        </w:rPr>
        <w:t>постійну комісію обласної ради з питань будівництва, архітектури, інфраструктури, транспорту та зв’язку (</w:t>
      </w:r>
      <w:proofErr w:type="spellStart"/>
      <w:r>
        <w:rPr>
          <w:sz w:val="28"/>
          <w:szCs w:val="28"/>
        </w:rPr>
        <w:t>Бічер</w:t>
      </w:r>
      <w:proofErr w:type="spellEnd"/>
      <w:r>
        <w:rPr>
          <w:sz w:val="28"/>
          <w:szCs w:val="28"/>
        </w:rPr>
        <w:t xml:space="preserve"> В.Г.). </w:t>
      </w:r>
    </w:p>
    <w:p w:rsidR="00733036" w:rsidRDefault="00733036" w:rsidP="00733036">
      <w:pPr>
        <w:jc w:val="both"/>
        <w:rPr>
          <w:sz w:val="28"/>
          <w:szCs w:val="28"/>
        </w:rPr>
      </w:pPr>
    </w:p>
    <w:p w:rsidR="006B690F" w:rsidRDefault="006B690F" w:rsidP="006B690F">
      <w:pPr>
        <w:ind w:firstLine="720"/>
        <w:rPr>
          <w:sz w:val="28"/>
        </w:rPr>
      </w:pPr>
    </w:p>
    <w:p w:rsidR="006B690F" w:rsidRDefault="006B690F" w:rsidP="006B690F">
      <w:pPr>
        <w:tabs>
          <w:tab w:val="left" w:pos="7371"/>
        </w:tabs>
        <w:rPr>
          <w:b/>
          <w:sz w:val="28"/>
        </w:rPr>
      </w:pPr>
      <w:r>
        <w:rPr>
          <w:b/>
          <w:sz w:val="28"/>
        </w:rPr>
        <w:t xml:space="preserve">Голова обласної ради </w:t>
      </w:r>
      <w:r>
        <w:rPr>
          <w:b/>
          <w:sz w:val="28"/>
        </w:rPr>
        <w:tab/>
      </w:r>
      <w:r w:rsidR="00DB7925">
        <w:rPr>
          <w:b/>
          <w:sz w:val="28"/>
        </w:rPr>
        <w:t xml:space="preserve">            </w:t>
      </w:r>
      <w:r>
        <w:rPr>
          <w:b/>
          <w:sz w:val="28"/>
        </w:rPr>
        <w:t xml:space="preserve"> І. </w:t>
      </w:r>
      <w:proofErr w:type="spellStart"/>
      <w:r>
        <w:rPr>
          <w:b/>
          <w:sz w:val="28"/>
        </w:rPr>
        <w:t>Мунтян</w:t>
      </w:r>
      <w:proofErr w:type="spellEnd"/>
    </w:p>
    <w:p w:rsidR="006B690F" w:rsidRDefault="006B690F" w:rsidP="006B690F">
      <w:pPr>
        <w:tabs>
          <w:tab w:val="left" w:pos="7371"/>
        </w:tabs>
        <w:rPr>
          <w:b/>
          <w:sz w:val="28"/>
        </w:rPr>
      </w:pPr>
    </w:p>
    <w:p w:rsidR="008B0E36" w:rsidRDefault="008B0E36"/>
    <w:sectPr w:rsidR="008B0E36" w:rsidSect="008B0E3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B690F"/>
    <w:rsid w:val="000532DB"/>
    <w:rsid w:val="000A655C"/>
    <w:rsid w:val="000C26F1"/>
    <w:rsid w:val="00101846"/>
    <w:rsid w:val="00187A5C"/>
    <w:rsid w:val="001E4463"/>
    <w:rsid w:val="002801F3"/>
    <w:rsid w:val="002934B2"/>
    <w:rsid w:val="00393EB3"/>
    <w:rsid w:val="003A5B89"/>
    <w:rsid w:val="0043448A"/>
    <w:rsid w:val="00590F8D"/>
    <w:rsid w:val="005C1A23"/>
    <w:rsid w:val="006B1C3C"/>
    <w:rsid w:val="006B690F"/>
    <w:rsid w:val="00733036"/>
    <w:rsid w:val="008B0E36"/>
    <w:rsid w:val="00952661"/>
    <w:rsid w:val="00AD358E"/>
    <w:rsid w:val="00B01304"/>
    <w:rsid w:val="00B152F0"/>
    <w:rsid w:val="00C414B5"/>
    <w:rsid w:val="00D04361"/>
    <w:rsid w:val="00DB7925"/>
    <w:rsid w:val="00E629DB"/>
    <w:rsid w:val="00E761EE"/>
    <w:rsid w:val="00ED6AF3"/>
    <w:rsid w:val="00F52348"/>
    <w:rsid w:val="00F66920"/>
    <w:rsid w:val="00F90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90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B690F"/>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pPr>
    <w:rPr>
      <w:b/>
      <w:sz w:val="52"/>
      <w:lang w:eastAsia="zh-CN"/>
    </w:rPr>
  </w:style>
  <w:style w:type="paragraph" w:styleId="2">
    <w:name w:val="heading 2"/>
    <w:basedOn w:val="a"/>
    <w:next w:val="a"/>
    <w:link w:val="20"/>
    <w:qFormat/>
    <w:rsid w:val="006B690F"/>
    <w:pPr>
      <w:keepNext/>
      <w:overflowPunct w:val="0"/>
      <w:autoSpaceDE w:val="0"/>
      <w:autoSpaceDN w:val="0"/>
      <w:adjustRightInd w:val="0"/>
      <w:jc w:val="center"/>
      <w:textAlignment w:val="baseline"/>
      <w:outlineLvl w:val="1"/>
    </w:pPr>
    <w:rPr>
      <w:sz w:val="28"/>
      <w:lang w:val="en-US" w:eastAsia="zh-CN"/>
    </w:rPr>
  </w:style>
  <w:style w:type="paragraph" w:styleId="3">
    <w:name w:val="heading 3"/>
    <w:basedOn w:val="a"/>
    <w:next w:val="a"/>
    <w:link w:val="30"/>
    <w:qFormat/>
    <w:rsid w:val="006B690F"/>
    <w:pPr>
      <w:keepNext/>
      <w:overflowPunct w:val="0"/>
      <w:autoSpaceDE w:val="0"/>
      <w:autoSpaceDN w:val="0"/>
      <w:adjustRightInd w:val="0"/>
      <w:jc w:val="center"/>
      <w:textAlignment w:val="baseline"/>
      <w:outlineLvl w:val="2"/>
    </w:pPr>
    <w:rPr>
      <w:b/>
      <w:spacing w:val="60"/>
      <w:sz w:val="4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690F"/>
    <w:rPr>
      <w:rFonts w:ascii="Times New Roman" w:eastAsia="Times New Roman" w:hAnsi="Times New Roman" w:cs="Times New Roman"/>
      <w:b/>
      <w:sz w:val="52"/>
      <w:szCs w:val="20"/>
      <w:lang w:eastAsia="zh-CN"/>
    </w:rPr>
  </w:style>
  <w:style w:type="character" w:customStyle="1" w:styleId="20">
    <w:name w:val="Заголовок 2 Знак"/>
    <w:basedOn w:val="a0"/>
    <w:link w:val="2"/>
    <w:rsid w:val="006B690F"/>
    <w:rPr>
      <w:rFonts w:ascii="Times New Roman" w:eastAsia="Times New Roman" w:hAnsi="Times New Roman" w:cs="Times New Roman"/>
      <w:sz w:val="28"/>
      <w:szCs w:val="20"/>
      <w:lang w:val="en-US" w:eastAsia="zh-CN"/>
    </w:rPr>
  </w:style>
  <w:style w:type="character" w:customStyle="1" w:styleId="30">
    <w:name w:val="Заголовок 3 Знак"/>
    <w:basedOn w:val="a0"/>
    <w:link w:val="3"/>
    <w:rsid w:val="006B690F"/>
    <w:rPr>
      <w:rFonts w:ascii="Times New Roman" w:eastAsia="Times New Roman" w:hAnsi="Times New Roman" w:cs="Times New Roman"/>
      <w:b/>
      <w:spacing w:val="60"/>
      <w:sz w:val="40"/>
      <w:szCs w:val="20"/>
      <w:lang w:val="en-US" w:eastAsia="zh-CN"/>
    </w:rPr>
  </w:style>
  <w:style w:type="paragraph" w:styleId="a3">
    <w:name w:val="Balloon Text"/>
    <w:basedOn w:val="a"/>
    <w:link w:val="a4"/>
    <w:uiPriority w:val="99"/>
    <w:semiHidden/>
    <w:unhideWhenUsed/>
    <w:rsid w:val="00B152F0"/>
    <w:rPr>
      <w:rFonts w:ascii="Tahoma" w:hAnsi="Tahoma" w:cs="Tahoma"/>
      <w:sz w:val="16"/>
      <w:szCs w:val="16"/>
    </w:rPr>
  </w:style>
  <w:style w:type="character" w:customStyle="1" w:styleId="a4">
    <w:name w:val="Текст выноски Знак"/>
    <w:basedOn w:val="a0"/>
    <w:link w:val="a3"/>
    <w:uiPriority w:val="99"/>
    <w:semiHidden/>
    <w:rsid w:val="00B152F0"/>
    <w:rPr>
      <w:rFonts w:ascii="Tahoma" w:eastAsia="Times New Roman" w:hAnsi="Tahoma" w:cs="Tahoma"/>
      <w:sz w:val="16"/>
      <w:szCs w:val="16"/>
      <w:lang w:eastAsia="ru-RU"/>
    </w:rPr>
  </w:style>
  <w:style w:type="character" w:styleId="a5">
    <w:name w:val="Hyperlink"/>
    <w:semiHidden/>
    <w:rsid w:val="0073303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3.rada.gov.ua/laws/show/140-2009-%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0.rada.gov.ua/laws/show/3551-12" TargetMode="External"/><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cp:lastPrinted>2018-09-13T13:02:00Z</cp:lastPrinted>
  <dcterms:created xsi:type="dcterms:W3CDTF">2018-09-13T08:01:00Z</dcterms:created>
  <dcterms:modified xsi:type="dcterms:W3CDTF">2018-10-05T11:12:00Z</dcterms:modified>
</cp:coreProperties>
</file>